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6"/>
        <w:jc w:val="center"/>
        <w:rPr>
          <w:b/>
        </w:rPr>
      </w:pPr>
      <w:r>
        <w:rPr>
          <w:b/>
        </w:rPr>
        <w:t xml:space="preserve">1</w:t>
      </w:r>
      <w:r>
        <w:rPr>
          <w:b/>
        </w:rPr>
        <w:t xml:space="preserve">.</w:t>
      </w:r>
      <w:r>
        <w:rPr>
          <w:b/>
          <w:lang w:val="en-US"/>
        </w:rPr>
        <w:t xml:space="preserve"> </w:t>
      </w:r>
      <w:r>
        <w:rPr>
          <w:b/>
        </w:rPr>
        <w:t xml:space="preserve">Паспорт </w:t>
      </w:r>
      <w:r>
        <w:rPr>
          <w:b/>
        </w:rPr>
        <w:t xml:space="preserve">муниципальной</w:t>
      </w:r>
      <w:r>
        <w:rPr>
          <w:b/>
        </w:rPr>
        <w:t xml:space="preserve"> программы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46"/>
        <w:ind w:firstLine="540"/>
        <w:jc w:val="both"/>
      </w:pPr>
      <w:r/>
      <w:r/>
    </w:p>
    <w:tbl>
      <w:tblPr>
        <w:tblW w:w="997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40"/>
        <w:gridCol w:w="2966"/>
        <w:gridCol w:w="6473"/>
      </w:tblGrid>
      <w:tr>
        <w:tblPrEx/>
        <w:trPr>
          <w:trHeight w:val="437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№ п/п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Наименование разделов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Краткое содержание</w:t>
            </w:r>
            <w:r/>
          </w:p>
        </w:tc>
      </w:tr>
      <w:tr>
        <w:tblPrEx/>
        <w:trPr>
          <w:trHeight w:val="1920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1.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Наименование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t xml:space="preserve">Муниципальная программа Новосибирского района Новосибирской области «</w:t>
            </w:r>
            <w:r>
              <w:t xml:space="preserve">Развитие автомобильных дорог местного значения на территории </w:t>
            </w:r>
            <w:r>
              <w:t xml:space="preserve">Новосибирского района Новосибирской области» (далее – муниципальная программа).</w:t>
            </w:r>
            <w:r/>
          </w:p>
        </w:tc>
      </w:tr>
      <w:tr>
        <w:tblPrEx/>
        <w:trPr>
          <w:trHeight w:val="2192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2.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Основание для разработки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- Устав Новосибирского района Новосибирской области;</w:t>
            </w:r>
            <w:r>
              <w:rPr>
                <w:rFonts w:eastAsia="Calibri"/>
                <w:szCs w:val="28"/>
                <w:lang w:eastAsia="en-US"/>
              </w:rPr>
            </w:r>
            <w:r>
              <w:rPr>
                <w:rFonts w:eastAsia="Calibri"/>
                <w:szCs w:val="28"/>
                <w:lang w:eastAsia="en-US"/>
              </w:rPr>
            </w:r>
          </w:p>
          <w:p>
            <w:pPr>
              <w:pStyle w:val="846"/>
              <w:jc w:val="both"/>
            </w:pPr>
            <w:r>
              <w:rPr>
                <w:rFonts w:eastAsia="Calibri"/>
                <w:szCs w:val="28"/>
                <w:lang w:eastAsia="en-US"/>
              </w:rPr>
              <w:t xml:space="preserve">- постановление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администрации Новосибирского района Новосибирской области </w:t>
            </w:r>
            <w:r>
              <w:rPr>
                <w:rFonts w:eastAsia="Calibri"/>
                <w:szCs w:val="28"/>
                <w:lang w:eastAsia="en-US"/>
              </w:rPr>
              <w:t xml:space="preserve">от 19.10.2018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г. </w:t>
            </w:r>
            <w:r>
              <w:rPr>
                <w:rFonts w:eastAsia="Calibri"/>
                <w:szCs w:val="28"/>
                <w:lang w:eastAsia="en-US"/>
              </w:rPr>
              <w:t xml:space="preserve">                  </w:t>
            </w:r>
            <w:r>
              <w:rPr>
                <w:rFonts w:eastAsia="Calibri"/>
                <w:szCs w:val="28"/>
                <w:lang w:eastAsia="en-US"/>
              </w:rPr>
              <w:t xml:space="preserve">№ 1119-па «Об утверждении Порядка формирования и реализации муниципальных программ Новосибирского района Новосибирской области»</w:t>
            </w:r>
            <w:r>
              <w:rPr>
                <w:rFonts w:eastAsia="Calibri"/>
                <w:szCs w:val="28"/>
                <w:lang w:eastAsia="en-US"/>
              </w:rPr>
              <w:t xml:space="preserve">.</w:t>
            </w:r>
            <w:r/>
          </w:p>
        </w:tc>
      </w:tr>
      <w:tr>
        <w:tblPrEx/>
        <w:trPr>
          <w:trHeight w:val="924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3.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Разработчик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t xml:space="preserve">Управление жилищно-коммунального хозяйства, дорожного хозяйства и транспорта администрации Новосибирского района Новосибирской области.</w:t>
            </w:r>
            <w:r/>
          </w:p>
        </w:tc>
      </w:tr>
      <w:tr>
        <w:tblPrEx/>
        <w:trPr>
          <w:trHeight w:val="939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4.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Координатор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t xml:space="preserve">Заместитель главы администрации Новосибирског</w:t>
            </w:r>
            <w:r>
              <w:t xml:space="preserve">о района Новосибирской области</w:t>
            </w:r>
            <w:r>
              <w:t xml:space="preserve"> Ходов Константин Андреевич</w:t>
            </w:r>
            <w:r/>
          </w:p>
        </w:tc>
      </w:tr>
      <w:tr>
        <w:tblPrEx/>
        <w:trPr>
          <w:trHeight w:val="315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5.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Исполнитель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t xml:space="preserve">1. Муниципальное казенное учреждение Новосибирского района Новосибирской области «Управляющая компания единого заказчика жилищно-коммунального хозяйства и строительс</w:t>
            </w:r>
            <w:r>
              <w:t xml:space="preserve">тва» (далее – МКУ «УК ЕЗ ЖКХС»).</w:t>
            </w:r>
            <w:r/>
          </w:p>
          <w:p>
            <w:pPr>
              <w:pStyle w:val="846"/>
              <w:jc w:val="both"/>
            </w:pPr>
            <w:r>
              <w:rPr>
                <w:szCs w:val="24"/>
              </w:rPr>
              <w:t xml:space="preserve">2. </w:t>
            </w:r>
            <w:r>
              <w:t xml:space="preserve">Органы местного самоуправления</w:t>
            </w:r>
            <w:r>
              <w:rPr>
                <w:szCs w:val="24"/>
              </w:rPr>
              <w:t xml:space="preserve"> муниципальных образований Новосибирско</w:t>
            </w:r>
            <w:r>
              <w:rPr>
                <w:szCs w:val="24"/>
              </w:rPr>
              <w:t xml:space="preserve">го района Новосибирской области.</w:t>
            </w:r>
            <w:r/>
          </w:p>
        </w:tc>
      </w:tr>
      <w:tr>
        <w:tblPrEx/>
        <w:trPr>
          <w:trHeight w:val="3575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6.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Цели и задачи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Цель муниципальной программы:</w:t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  <w:p>
            <w:pPr>
              <w:pStyle w:val="846"/>
              <w:jc w:val="both"/>
            </w:pPr>
            <w:r>
              <w:t xml:space="preserve">снижение доли автомобильных дорог общего пользования местного значения</w:t>
            </w:r>
            <w:r>
              <w:t xml:space="preserve"> в границах </w:t>
            </w:r>
            <w:r>
              <w:t xml:space="preserve">Новосибирского района Новосибирской области</w:t>
            </w:r>
            <w:r>
              <w:t xml:space="preserve">, не соответствующих нормативным требованиям к транспортно-эксплуатационным показателям</w:t>
            </w:r>
            <w:r>
              <w:t xml:space="preserve">. </w:t>
            </w:r>
            <w:r/>
          </w:p>
          <w:p>
            <w:pPr>
              <w:ind w:left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Задачи муниципальной программы:</w:t>
            </w:r>
            <w:r>
              <w:rPr>
                <w:b/>
                <w:szCs w:val="28"/>
              </w:rPr>
            </w:r>
            <w:r>
              <w:rPr>
                <w:b/>
                <w:szCs w:val="28"/>
              </w:rPr>
            </w:r>
          </w:p>
          <w:p>
            <w:pPr>
              <w:pStyle w:val="846"/>
              <w:jc w:val="both"/>
            </w:pPr>
            <w:r>
              <w:t xml:space="preserve">Задача 1. П</w:t>
            </w:r>
            <w:r>
              <w:t xml:space="preserve">овышение уровня доступности транспортных услуг и сети автомобильных дорог местного значения для населения и хозяйствующих субъектов</w:t>
            </w:r>
            <w:r>
              <w:t xml:space="preserve">. </w:t>
            </w:r>
            <w:r/>
          </w:p>
          <w:p>
            <w:pPr>
              <w:pStyle w:val="846"/>
              <w:jc w:val="both"/>
            </w:pPr>
            <w:r>
              <w:t xml:space="preserve">Задача 2. </w:t>
            </w:r>
            <w:r>
              <w:t xml:space="preserve">Ремонт автомобильных дорог общего пользования местного значения, находящихся в неудовлетворительном и аварийном состоянии</w:t>
            </w:r>
            <w:r>
              <w:t xml:space="preserve">.</w:t>
            </w:r>
            <w:r/>
          </w:p>
          <w:p>
            <w:pPr>
              <w:pStyle w:val="846"/>
              <w:jc w:val="both"/>
            </w:pPr>
            <w:r>
              <w:t xml:space="preserve">Задача 3. </w:t>
            </w:r>
            <w:r>
              <w:t xml:space="preserve">Развитие сети автомобильных дорог общего пользования местного значения с твердым покрытием</w:t>
            </w:r>
            <w:r>
              <w:t xml:space="preserve">.</w:t>
            </w:r>
            <w:r/>
          </w:p>
        </w:tc>
      </w:tr>
      <w:tr>
        <w:tblPrEx/>
        <w:trPr>
          <w:trHeight w:val="1345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7.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Целевые индикаторы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</w:pPr>
            <w:r>
              <w:t xml:space="preserve">С</w:t>
            </w:r>
            <w:r>
              <w:t xml:space="preserve">нижение доли автомобильных дорог общего пользования местного значения, не соответствующих нормативным требованиям к транспортно-эксплуатационным показателям.</w:t>
            </w:r>
            <w:r/>
          </w:p>
        </w:tc>
      </w:tr>
      <w:tr>
        <w:tblPrEx/>
        <w:trPr>
          <w:trHeight w:val="1247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8.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Сроки (этапы) реализации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t xml:space="preserve">Период реализации Муниципальной программы: 2022 - 2027 годы.</w:t>
            </w:r>
            <w:r/>
          </w:p>
          <w:p>
            <w:pPr>
              <w:pStyle w:val="846"/>
              <w:jc w:val="both"/>
            </w:pPr>
            <w:r>
              <w:t xml:space="preserve">Этапы реализации Муниципальной программы не выделяются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/>
          </w:p>
        </w:tc>
      </w:tr>
      <w:tr>
        <w:tblPrEx/>
        <w:trPr>
          <w:trHeight w:val="881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9.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Объем и источники финансирования муниципальной программы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  <w:rPr>
                <w:highlight w:val="white"/>
              </w:rPr>
            </w:pPr>
            <w:r>
              <w:t xml:space="preserve">Общий объем ассигнований на реализацию Муниципаль</w:t>
            </w:r>
            <w:r>
              <w:rPr>
                <w:highlight w:val="white"/>
              </w:rPr>
              <w:t xml:space="preserve">ной программы на 20</w:t>
            </w:r>
            <w:r>
              <w:rPr>
                <w:highlight w:val="white"/>
              </w:rPr>
              <w:t xml:space="preserve">22</w:t>
            </w:r>
            <w:r>
              <w:rPr>
                <w:highlight w:val="white"/>
              </w:rPr>
              <w:t xml:space="preserve"> - 202</w:t>
            </w:r>
            <w:r>
              <w:rPr>
                <w:highlight w:val="white"/>
              </w:rPr>
              <w:t xml:space="preserve">5 годы составляет –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 139 591,</w:t>
            </w:r>
            <w:r>
              <w:rPr>
                <w:highlight w:val="white"/>
              </w:rPr>
              <w:t xml:space="preserve">52351</w:t>
            </w:r>
            <w:r>
              <w:rPr>
                <w:bCs/>
                <w:color w:val="000000"/>
                <w:highlight w:val="white"/>
              </w:rPr>
              <w:t xml:space="preserve"> </w:t>
            </w:r>
            <w:r>
              <w:rPr>
                <w:bCs/>
                <w:color w:val="000000"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тыс. рублей, в том числе по годам: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2022 год – 199 045,54734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  <w:t xml:space="preserve"> год – </w:t>
            </w:r>
            <w:r>
              <w:rPr>
                <w:bCs/>
                <w:color w:val="000000"/>
                <w:highlight w:val="white"/>
              </w:rPr>
              <w:t xml:space="preserve">337 086,00002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2024</w:t>
            </w:r>
            <w:r>
              <w:rPr>
                <w:highlight w:val="white"/>
              </w:rPr>
              <w:t xml:space="preserve"> год –</w:t>
            </w:r>
            <w:r>
              <w:rPr>
                <w:bCs/>
                <w:color w:val="000000"/>
                <w:highlight w:val="white"/>
              </w:rPr>
              <w:t xml:space="preserve"> </w:t>
            </w:r>
            <w:r>
              <w:rPr>
                <w:bCs/>
                <w:color w:val="000000"/>
                <w:highlight w:val="white"/>
              </w:rPr>
              <w:t xml:space="preserve">691 730,50615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  <w:t xml:space="preserve">2025</w:t>
            </w:r>
            <w:r>
              <w:rPr>
                <w:highlight w:val="white"/>
              </w:rPr>
              <w:t xml:space="preserve"> год –</w:t>
            </w:r>
            <w:r>
              <w:rPr>
                <w:bCs/>
                <w:color w:val="000000"/>
                <w:highlight w:val="white"/>
              </w:rPr>
              <w:t xml:space="preserve"> </w:t>
            </w:r>
            <w:r>
              <w:rPr>
                <w:bCs/>
                <w:color w:val="000000"/>
                <w:highlight w:val="white"/>
                <w:lang w:val="en-US"/>
              </w:rPr>
              <w:t xml:space="preserve">920</w:t>
            </w:r>
            <w:r>
              <w:rPr>
                <w:bCs/>
                <w:color w:val="000000"/>
                <w:highlight w:val="white"/>
              </w:rPr>
              <w:t xml:space="preserve"> </w:t>
            </w:r>
            <w:r>
              <w:rPr>
                <w:bCs/>
                <w:color w:val="000000"/>
                <w:highlight w:val="white"/>
                <w:lang w:val="en-US"/>
              </w:rPr>
              <w:t xml:space="preserve">545</w:t>
            </w:r>
            <w:r>
              <w:rPr>
                <w:bCs/>
                <w:color w:val="000000"/>
                <w:highlight w:val="white"/>
              </w:rPr>
              <w:t xml:space="preserve">,</w:t>
            </w:r>
            <w:r>
              <w:rPr>
                <w:bCs/>
                <w:color w:val="000000"/>
                <w:highlight w:val="white"/>
                <w:lang w:val="en-US"/>
              </w:rPr>
              <w:t xml:space="preserve">26</w:t>
            </w:r>
            <w:r>
              <w:rPr>
                <w:bCs/>
                <w:color w:val="000000"/>
                <w:highlight w:val="white"/>
              </w:rPr>
              <w:t xml:space="preserve">000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 источникам финансирования: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rPr>
                <w:highlight w:val="white"/>
              </w:rPr>
              <w:t xml:space="preserve">бюджет Новосибирского района Нов</w:t>
            </w:r>
            <w:r>
              <w:rPr>
                <w:highlight w:val="white"/>
              </w:rPr>
              <w:t xml:space="preserve">осибирской области – </w:t>
            </w: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 067 660,</w:t>
            </w:r>
            <w:r>
              <w:rPr>
                <w:highlight w:val="white"/>
              </w:rPr>
              <w:t xml:space="preserve">580</w:t>
            </w:r>
            <w:r>
              <w:rPr>
                <w:highlight w:val="white"/>
              </w:rPr>
              <w:t xml:space="preserve">56</w:t>
            </w:r>
            <w:r>
              <w:rPr>
                <w:highlight w:val="white"/>
              </w:rPr>
              <w:t xml:space="preserve">  </w:t>
            </w:r>
            <w:r>
              <w:rPr>
                <w:highlight w:val="white"/>
              </w:rPr>
              <w:t xml:space="preserve">тыс. рублей, в том числе по годам: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rPr>
                <w:highlight w:val="white"/>
              </w:rPr>
              <w:t xml:space="preserve">2022 год – 193 745,46272 тыс.</w:t>
            </w:r>
            <w:r>
              <w:rPr>
                <w:highlight w:val="white"/>
              </w:rPr>
              <w:t xml:space="preserve">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  <w:t xml:space="preserve"> год – </w:t>
            </w:r>
            <w:r>
              <w:rPr>
                <w:bCs/>
                <w:color w:val="000000"/>
                <w:highlight w:val="white"/>
              </w:rPr>
              <w:t xml:space="preserve">327 109,20000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2024</w:t>
            </w:r>
            <w:r>
              <w:rPr>
                <w:highlight w:val="white"/>
              </w:rPr>
              <w:t xml:space="preserve"> год – </w:t>
            </w:r>
            <w:r>
              <w:rPr>
                <w:highlight w:val="white"/>
              </w:rPr>
              <w:t xml:space="preserve">670 662,91784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  <w:t xml:space="preserve">2025</w:t>
            </w:r>
            <w:r>
              <w:rPr>
                <w:highlight w:val="white"/>
              </w:rPr>
              <w:t xml:space="preserve"> год –</w:t>
            </w:r>
            <w:r>
              <w:rPr>
                <w:bCs/>
                <w:color w:val="000000"/>
                <w:highlight w:val="white"/>
                <w:lang w:val="en-US"/>
              </w:rPr>
              <w:t xml:space="preserve">888</w:t>
            </w:r>
            <w:r>
              <w:rPr>
                <w:bCs/>
                <w:color w:val="000000"/>
                <w:highlight w:val="white"/>
              </w:rPr>
              <w:t xml:space="preserve"> 143,00000 </w:t>
            </w:r>
            <w:r>
              <w:rPr>
                <w:highlight w:val="white"/>
              </w:rPr>
              <w:t xml:space="preserve">тыс. рублей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t xml:space="preserve">бюджет поселений</w:t>
            </w:r>
            <w:r>
              <w:t xml:space="preserve"> Новосибирского района </w:t>
            </w:r>
            <w:r>
              <w:t xml:space="preserve">Ново</w:t>
            </w:r>
            <w:r>
              <w:rPr>
                <w:highlight w:val="white"/>
              </w:rPr>
              <w:t xml:space="preserve">сибирской области – </w:t>
            </w:r>
            <w:r>
              <w:rPr>
                <w:highlight w:val="white"/>
              </w:rPr>
              <w:t xml:space="preserve">82</w:t>
            </w:r>
            <w:r>
              <w:rPr>
                <w:highlight w:val="white"/>
              </w:rPr>
              <w:t xml:space="preserve"> 457,</w:t>
            </w:r>
            <w:r>
              <w:rPr>
                <w:highlight w:val="white"/>
              </w:rPr>
              <w:t xml:space="preserve">26295</w:t>
            </w:r>
            <w:r>
              <w:rPr>
                <w:highlight w:val="white"/>
              </w:rPr>
              <w:t xml:space="preserve">                     </w:t>
            </w:r>
            <w:r>
              <w:rPr>
                <w:highlight w:val="white"/>
              </w:rPr>
              <w:t xml:space="preserve">тыс. рублей, в том числе по годам: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rPr>
                <w:highlight w:val="white"/>
              </w:rPr>
              <w:t xml:space="preserve">2022 год – 5 300,08462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6"/>
              <w:rPr>
                <w:highlight w:val="white"/>
              </w:rPr>
            </w:pPr>
            <w:r>
              <w:rPr>
                <w:highlight w:val="white"/>
              </w:rPr>
              <w:t xml:space="preserve">2023</w:t>
            </w:r>
            <w:r>
              <w:rPr>
                <w:highlight w:val="white"/>
              </w:rPr>
              <w:t xml:space="preserve"> год – </w:t>
            </w:r>
            <w:r>
              <w:rPr>
                <w:bCs/>
                <w:color w:val="000000"/>
                <w:highlight w:val="white"/>
              </w:rPr>
              <w:t xml:space="preserve">9 976,80002 </w:t>
            </w:r>
            <w:r>
              <w:rPr>
                <w:highlight w:val="white"/>
              </w:rPr>
              <w:t xml:space="preserve">тыс. рублей;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2"/>
              <w:ind w:left="0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2024</w:t>
            </w:r>
            <w:r>
              <w:rPr>
                <w:sz w:val="28"/>
                <w:szCs w:val="28"/>
                <w:highlight w:val="white"/>
              </w:rPr>
              <w:t xml:space="preserve"> год –</w:t>
            </w:r>
            <w:r>
              <w:rPr>
                <w:sz w:val="28"/>
                <w:szCs w:val="28"/>
                <w:highlight w:val="white"/>
              </w:rPr>
              <w:t xml:space="preserve"> </w:t>
            </w:r>
            <w:r>
              <w:rPr>
                <w:sz w:val="28"/>
                <w:szCs w:val="28"/>
                <w:highlight w:val="white"/>
              </w:rPr>
              <w:t xml:space="preserve">21 067,58831 </w:t>
            </w:r>
            <w:r>
              <w:rPr>
                <w:sz w:val="28"/>
                <w:szCs w:val="28"/>
                <w:highlight w:val="white"/>
              </w:rPr>
              <w:t xml:space="preserve">тыс. рублей</w:t>
            </w:r>
            <w:r>
              <w:rPr>
                <w:sz w:val="28"/>
                <w:szCs w:val="28"/>
                <w:highlight w:val="white"/>
              </w:rPr>
              <w:t xml:space="preserve">;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left="0"/>
              <w:jc w:val="left"/>
              <w:rPr>
                <w:color w:val="000000"/>
                <w:sz w:val="32"/>
                <w:szCs w:val="32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  <w:t xml:space="preserve">2025</w:t>
            </w:r>
            <w:r>
              <w:rPr>
                <w:sz w:val="28"/>
                <w:szCs w:val="28"/>
                <w:highlight w:val="white"/>
              </w:rPr>
              <w:t xml:space="preserve"> год –</w:t>
            </w:r>
            <w:r>
              <w:rPr>
                <w:sz w:val="28"/>
                <w:szCs w:val="28"/>
                <w:highlight w:val="white"/>
              </w:rPr>
              <w:t xml:space="preserve"> </w:t>
            </w: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402</w:t>
            </w:r>
            <w:r>
              <w:rPr>
                <w:sz w:val="28"/>
                <w:szCs w:val="28"/>
                <w:highlight w:val="white"/>
              </w:rPr>
              <w:t xml:space="preserve">,</w:t>
            </w:r>
            <w:r>
              <w:rPr>
                <w:sz w:val="28"/>
                <w:szCs w:val="28"/>
                <w:highlight w:val="white"/>
                <w:lang w:val="en-US"/>
              </w:rPr>
              <w:t xml:space="preserve">26</w:t>
            </w:r>
            <w:r>
              <w:rPr>
                <w:sz w:val="28"/>
                <w:szCs w:val="28"/>
                <w:highlight w:val="white"/>
              </w:rPr>
              <w:t xml:space="preserve">000 </w:t>
            </w:r>
            <w:r>
              <w:rPr>
                <w:sz w:val="28"/>
                <w:szCs w:val="28"/>
                <w:highlight w:val="white"/>
              </w:rPr>
              <w:t xml:space="preserve">тыс. рублей.</w:t>
            </w:r>
            <w:r>
              <w:rPr>
                <w:color w:val="000000"/>
                <w:sz w:val="32"/>
                <w:szCs w:val="32"/>
                <w:highlight w:val="white"/>
              </w:rPr>
            </w:r>
            <w:r>
              <w:rPr>
                <w:color w:val="000000"/>
                <w:sz w:val="32"/>
                <w:szCs w:val="32"/>
                <w:highlight w:val="white"/>
              </w:rPr>
            </w:r>
          </w:p>
        </w:tc>
      </w:tr>
      <w:tr>
        <w:tblPrEx/>
        <w:trPr>
          <w:trHeight w:val="1307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10.</w:t>
            </w:r>
            <w:r/>
          </w:p>
        </w:tc>
        <w:tc>
          <w:tcPr>
            <w:tcW w:w="2966" w:type="dxa"/>
            <w:vAlign w:val="center"/>
            <w:textDirection w:val="lrTb"/>
            <w:noWrap w:val="false"/>
          </w:tcPr>
          <w:p>
            <w:pPr>
              <w:pStyle w:val="846"/>
              <w:jc w:val="center"/>
            </w:pPr>
            <w:r>
              <w:t xml:space="preserve">Электронный адрес размещения муниципальной программы в сети Интернет</w:t>
            </w:r>
            <w:r/>
          </w:p>
        </w:tc>
        <w:tc>
          <w:tcPr>
            <w:tcW w:w="6473" w:type="dxa"/>
            <w:vAlign w:val="center"/>
            <w:textDirection w:val="lrTb"/>
            <w:noWrap w:val="false"/>
          </w:tcPr>
          <w:p>
            <w:pPr>
              <w:pStyle w:val="846"/>
              <w:jc w:val="both"/>
            </w:pPr>
            <w:r>
              <w:rPr>
                <w:lang w:val="en-US"/>
              </w:rPr>
              <w:t xml:space="preserve">http</w:t>
            </w:r>
            <w:r>
              <w:t xml:space="preserve">:/</w:t>
            </w:r>
            <w:r>
              <w:rPr>
                <w:lang w:val="en-US"/>
              </w:rPr>
              <w:t xml:space="preserve">nsr</w:t>
            </w:r>
            <w:r>
              <w:t xml:space="preserve">.</w:t>
            </w:r>
            <w:r>
              <w:rPr>
                <w:lang w:val="en-US"/>
              </w:rPr>
              <w:t xml:space="preserve">nso</w:t>
            </w:r>
            <w:r>
              <w:t xml:space="preserve">.</w:t>
            </w:r>
            <w:r>
              <w:rPr>
                <w:lang w:val="en-US"/>
              </w:rPr>
              <w:t xml:space="preserve">ru</w:t>
            </w:r>
            <w:r>
              <w:t xml:space="preserve">/</w:t>
            </w:r>
            <w:r/>
          </w:p>
        </w:tc>
      </w:tr>
    </w:tbl>
    <w:p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2"/>
      <w:jc w:val="right"/>
    </w:pPr>
    <w:r>
      <w:t xml:space="preserve">ПРОЕКТ</w: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3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3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3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3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3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3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3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3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3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3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3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3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basedOn w:val="843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ind w:left="284"/>
      <w:jc w:val="both"/>
      <w:spacing w:after="0" w:line="240" w:lineRule="auto"/>
    </w:pPr>
    <w:rPr>
      <w:rFonts w:ascii="Times New Roman" w:hAnsi="Times New Roman"/>
      <w:sz w:val="28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 w:customStyle="1">
    <w:name w:val="ConsPlusNormal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Е. Дмитроница</dc:creator>
  <cp:keywords/>
  <dc:description/>
  <cp:revision>8</cp:revision>
  <dcterms:created xsi:type="dcterms:W3CDTF">2022-11-15T01:38:00Z</dcterms:created>
  <dcterms:modified xsi:type="dcterms:W3CDTF">2024-11-15T06:52:01Z</dcterms:modified>
</cp:coreProperties>
</file>